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Override ContentType="application/vnd.openxmlformats-officedocument.wordprocessingml.header+xml" PartName="/word/header1.xml"/>
  <Override ContentType="application/vnd.openxmlformats-officedocument.wordprocessingml.footer+xml" PartName="/word/footer1.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left"/>
      </w:pPr>
      <w:r>
        <w:rPr>
          <w:b/>
          <w:bCs/>
          <w:color w:val="1F2937"/>
          <w:sz w:val="20"/>
          <w:szCs w:val="20"/>
        </w:rPr>
        <w:t xml:space="preserve">FINALTABLE MEDIA LTD</w:t>
      </w:r>
    </w:p>
    <w:p>
      <w:pPr>
        <w:spacing w:after="200"/>
        <w:jc w:val="left"/>
      </w:pPr>
      <w:r>
        <w:rPr>
          <w:color w:val="6B7280"/>
          <w:sz w:val="18"/>
          <w:szCs w:val="18"/>
        </w:rPr>
        <w:t xml:space="preserve">Trading as StableBet — stablebet.co.uk</w:t>
      </w:r>
    </w:p>
    <w:p>
      <w:pPr>
        <w:pBdr>
          <w:bottom w:val="single" w:color="CCCCCC" w:sz="6" w:space="6"/>
        </w:pBdr>
        <w:spacing w:after="200"/>
      </w:pPr>
      <w:r>
        <w:t xml:space="preserve"/>
      </w:r>
    </w:p>
    <w:p>
      <w:pPr>
        <w:spacing w:after="80" w:before="120"/>
      </w:pPr>
      <w:r>
        <w:rPr>
          <w:b/>
          <w:bCs/>
          <w:sz w:val="40"/>
          <w:szCs w:val="40"/>
        </w:rPr>
        <w:t xml:space="preserve">Social Responsibility and Responsible Gambling Policy</w:t>
      </w:r>
    </w:p>
    <w:p>
      <w:pPr>
        <w:spacing w:after="240"/>
      </w:pPr>
      <w:r>
        <w:rPr>
          <w:color w:val="6B7280"/>
          <w:sz w:val="18"/>
          <w:szCs w:val="18"/>
        </w:rPr>
        <w:t xml:space="preserve">Reference: POL-SRG-001 · Version 1.0 · Effective 19 April 2026 · Next review 19 April 2027</w:t>
      </w:r>
    </w:p>
    <w:p>
      <w:pPr>
        <w:pBdr>
          <w:bottom w:val="single" w:color="CCCCCC" w:sz="6" w:space="6"/>
        </w:pBdr>
        <w:spacing w:after="200"/>
      </w:pPr>
      <w:r>
        <w:t xml:space="preserve"/>
      </w:r>
    </w:p>
    <w:p>
      <w:pPr>
        <w:pStyle w:val="Heading1"/>
      </w:pPr>
      <w:r>
        <w:t xml:space="preserve">1. Purpose</w:t>
      </w:r>
    </w:p>
    <w:p>
      <w:pPr>
        <w:spacing w:after="160" w:line="300"/>
      </w:pPr>
      <w:r>
        <w:t xml:space="preserve">Finaltable Media Ltd ("the Company", trading as StableBet) operates an independent horse racing and sports betting information website. We work with licensed gambling operators on an affiliate basis. This Social Responsibility and Responsible Gambling Policy sets out the standards we apply to protect consumers, particularly those who may be at risk of gambling-related harm, and our commitments as a responsible operator of gambling-related content.</w:t>
      </w:r>
    </w:p>
    <w:p>
      <w:pPr>
        <w:pStyle w:val="Heading1"/>
      </w:pPr>
      <w:r>
        <w:t xml:space="preserve">2. Scope</w:t>
      </w:r>
    </w:p>
    <w:p>
      <w:pPr>
        <w:spacing w:after="160" w:line="300"/>
      </w:pPr>
      <w:r>
        <w:t xml:space="preserve">This policy applies to all editorial, marketing, affiliate, product, and operational activity carried out by the Company, whether delivered directly or through third parties acting on our behalf. It also sets the minimum standards we expect from any gambling operator, network, or commercial partner with whom we work.</w:t>
      </w:r>
    </w:p>
    <w:p>
      <w:pPr>
        <w:pStyle w:val="Heading1"/>
      </w:pPr>
      <w:r>
        <w:t xml:space="preserve">3. Our commitments</w:t>
      </w:r>
    </w:p>
    <w:p>
      <w:pPr>
        <w:pStyle w:val="ListParagraph"/>
        <w:numPr>
          <w:ilvl w:val="0"/>
          <w:numId w:val="2"/>
        </w:numPr>
        <w:spacing w:after="80" w:line="280"/>
      </w:pPr>
      <w:r>
        <w:t xml:space="preserve">We only promote operators that are licensed by the UK Gambling Commission or, for non-UK markets, an equivalent credible regulator.</w:t>
      </w:r>
    </w:p>
    <w:p>
      <w:pPr>
        <w:pStyle w:val="ListParagraph"/>
        <w:numPr>
          <w:ilvl w:val="0"/>
          <w:numId w:val="2"/>
        </w:numPr>
        <w:spacing w:after="80" w:line="280"/>
      </w:pPr>
      <w:r>
        <w:t xml:space="preserve">We do not knowingly link to, review, or promote any unlicensed operator.</w:t>
      </w:r>
    </w:p>
    <w:p>
      <w:pPr>
        <w:pStyle w:val="ListParagraph"/>
        <w:numPr>
          <w:ilvl w:val="0"/>
          <w:numId w:val="2"/>
        </w:numPr>
        <w:spacing w:after="80" w:line="280"/>
      </w:pPr>
      <w:r>
        <w:t xml:space="preserve">We include clear 18+ (or 25+ where locally applicable) age messaging on pages that promote gambling products.</w:t>
      </w:r>
    </w:p>
    <w:p>
      <w:pPr>
        <w:pStyle w:val="ListParagraph"/>
        <w:numPr>
          <w:ilvl w:val="0"/>
          <w:numId w:val="2"/>
        </w:numPr>
        <w:spacing w:after="80" w:line="280"/>
      </w:pPr>
      <w:r>
        <w:t xml:space="preserve">We signpost problem gambling support services — including BeGambleAware, GamCare, and GamStop — prominently and consistently.</w:t>
      </w:r>
    </w:p>
    <w:p>
      <w:pPr>
        <w:pStyle w:val="ListParagraph"/>
        <w:numPr>
          <w:ilvl w:val="0"/>
          <w:numId w:val="2"/>
        </w:numPr>
        <w:spacing w:after="80" w:line="280"/>
      </w:pPr>
      <w:r>
        <w:t xml:space="preserve">We do not design content to appeal to children or young persons under 18.</w:t>
      </w:r>
    </w:p>
    <w:p>
      <w:pPr>
        <w:pStyle w:val="ListParagraph"/>
        <w:numPr>
          <w:ilvl w:val="0"/>
          <w:numId w:val="2"/>
        </w:numPr>
        <w:spacing w:after="80" w:line="280"/>
      </w:pPr>
      <w:r>
        <w:t xml:space="preserve">We produce content that is honest, balanced, and supported by reasonable research, and we do not misrepresent the likelihood of winning.</w:t>
      </w:r>
    </w:p>
    <w:p>
      <w:pPr>
        <w:pStyle w:val="ListParagraph"/>
        <w:numPr>
          <w:ilvl w:val="0"/>
          <w:numId w:val="2"/>
        </w:numPr>
        <w:spacing w:after="80" w:line="280"/>
      </w:pPr>
      <w:r>
        <w:t xml:space="preserve">We apply terms-and-conditions transparency to all promotional content, including the inclusion of applicable significant conditions close to the headline claim.</w:t>
      </w:r>
    </w:p>
    <w:p>
      <w:pPr>
        <w:pStyle w:val="Heading1"/>
      </w:pPr>
      <w:r>
        <w:t xml:space="preserve">4. Advertising and content standards</w:t>
      </w:r>
    </w:p>
    <w:p>
      <w:pPr>
        <w:spacing w:after="160" w:line="300"/>
      </w:pPr>
      <w:r>
        <w:t xml:space="preserve">All gambling-related advertising and promotional content produced or published by the Company is designed to comply with:</w:t>
      </w:r>
    </w:p>
    <w:p>
      <w:pPr>
        <w:pStyle w:val="ListParagraph"/>
        <w:numPr>
          <w:ilvl w:val="0"/>
          <w:numId w:val="2"/>
        </w:numPr>
        <w:spacing w:after="80" w:line="280"/>
      </w:pPr>
      <w:r>
        <w:t xml:space="preserve">The UK Code of Non-broadcast Advertising and Direct &amp; Promotional Marketing (CAP Code), in particular sections 16 (Gambling) and 18 (Alcohol) where relevant.</w:t>
      </w:r>
    </w:p>
    <w:p>
      <w:pPr>
        <w:pStyle w:val="ListParagraph"/>
        <w:numPr>
          <w:ilvl w:val="0"/>
          <w:numId w:val="2"/>
        </w:numPr>
        <w:spacing w:after="80" w:line="280"/>
      </w:pPr>
      <w:r>
        <w:t xml:space="preserve">The Advertising Standards Authority (ASA) and Committee of Advertising Practice (CAP) guidance on gambling advertising, including the protection of under-18s.</w:t>
      </w:r>
    </w:p>
    <w:p>
      <w:pPr>
        <w:pStyle w:val="ListParagraph"/>
        <w:numPr>
          <w:ilvl w:val="0"/>
          <w:numId w:val="2"/>
        </w:numPr>
        <w:spacing w:after="80" w:line="280"/>
      </w:pPr>
      <w:r>
        <w:t xml:space="preserve">The Industry Code for Socially Responsible Advertising (published by the Betting and Gaming Council).</w:t>
      </w:r>
    </w:p>
    <w:p>
      <w:pPr>
        <w:pStyle w:val="ListParagraph"/>
        <w:numPr>
          <w:ilvl w:val="0"/>
          <w:numId w:val="2"/>
        </w:numPr>
        <w:spacing w:after="80" w:line="280"/>
      </w:pPr>
      <w:r>
        <w:t xml:space="preserve">Gambling Commission Licence Conditions and Codes of Practice (LCCP) insofar as they apply to affiliates of licensed operators.</w:t>
      </w:r>
    </w:p>
    <w:p>
      <w:pPr>
        <w:spacing w:after="160" w:line="300"/>
      </w:pPr>
      <w:r>
        <w:t xml:space="preserve">In particular, we ensure that gambling-related content: is not placed where more than 25% of the audience is expected to be under 18; does not feature or portray people who are, or appear to be, under 25 in a way that would be inappropriate; does not exploit the susceptibilities, aspirations, credulity, inexperience, or lack of knowledge of children or young persons; and does not present gambling as a solution to financial, social, or emotional problems.</w:t>
      </w:r>
    </w:p>
    <w:p>
      <w:pPr>
        <w:pStyle w:val="Heading1"/>
      </w:pPr>
      <w:r>
        <w:t xml:space="preserve">5. Affiliate standards</w:t>
      </w:r>
    </w:p>
    <w:p>
      <w:pPr>
        <w:spacing w:after="160" w:line="300"/>
      </w:pPr>
      <w:r>
        <w:t xml:space="preserve">We follow the UK Gambling Commission's affiliate guidance and are committed to practices that support (not undermine) our partners' licensed obligations. In particular:</w:t>
      </w:r>
    </w:p>
    <w:p>
      <w:pPr>
        <w:pStyle w:val="ListParagraph"/>
        <w:numPr>
          <w:ilvl w:val="0"/>
          <w:numId w:val="2"/>
        </w:numPr>
        <w:spacing w:after="80" w:line="280"/>
      </w:pPr>
      <w:r>
        <w:t xml:space="preserve">We never send unsolicited marketing communications.</w:t>
      </w:r>
    </w:p>
    <w:p>
      <w:pPr>
        <w:pStyle w:val="ListParagraph"/>
        <w:numPr>
          <w:ilvl w:val="0"/>
          <w:numId w:val="2"/>
        </w:numPr>
        <w:spacing w:after="80" w:line="280"/>
      </w:pPr>
      <w:r>
        <w:t xml:space="preserve">We never target self-excluded consumers (including GAMSTOP-registered individuals) with gambling content.</w:t>
      </w:r>
    </w:p>
    <w:p>
      <w:pPr>
        <w:pStyle w:val="ListParagraph"/>
        <w:numPr>
          <w:ilvl w:val="0"/>
          <w:numId w:val="2"/>
        </w:numPr>
        <w:spacing w:after="80" w:line="280"/>
      </w:pPr>
      <w:r>
        <w:t xml:space="preserve">We always make the commercial nature of affiliate relationships clear on pages that contain affiliate links.</w:t>
      </w:r>
    </w:p>
    <w:p>
      <w:pPr>
        <w:pStyle w:val="ListParagraph"/>
        <w:numPr>
          <w:ilvl w:val="0"/>
          <w:numId w:val="2"/>
        </w:numPr>
        <w:spacing w:after="80" w:line="280"/>
      </w:pPr>
      <w:r>
        <w:t xml:space="preserve">We present bonus and promotional content with significant terms disclosed up front, not hidden in small print.</w:t>
      </w:r>
    </w:p>
    <w:p>
      <w:pPr>
        <w:pStyle w:val="ListParagraph"/>
        <w:numPr>
          <w:ilvl w:val="0"/>
          <w:numId w:val="2"/>
        </w:numPr>
        <w:spacing w:after="80" w:line="280"/>
      </w:pPr>
      <w:r>
        <w:t xml:space="preserve">We cooperate promptly and fully with any takedown, amendment, or information request from a licensed operator or from the Gambling Commission.</w:t>
      </w:r>
    </w:p>
    <w:p>
      <w:pPr>
        <w:pStyle w:val="Heading1"/>
      </w:pPr>
      <w:r>
        <w:t xml:space="preserve">6. Protecting vulnerable individuals</w:t>
      </w:r>
    </w:p>
    <w:p>
      <w:pPr>
        <w:spacing w:after="160" w:line="300"/>
      </w:pPr>
      <w:r>
        <w:t xml:space="preserve">We recognise that a proportion of gamblers may be experiencing, or be at risk of, gambling-related harm. Across our website we:</w:t>
      </w:r>
    </w:p>
    <w:p>
      <w:pPr>
        <w:pStyle w:val="ListParagraph"/>
        <w:numPr>
          <w:ilvl w:val="0"/>
          <w:numId w:val="2"/>
        </w:numPr>
        <w:spacing w:after="80" w:line="280"/>
      </w:pPr>
      <w:r>
        <w:t xml:space="preserve">Publish a dedicated Responsible Gambling resource that explains the warning signs of problem gambling, practical self-management tools, and direct links to support services.</w:t>
      </w:r>
    </w:p>
    <w:p>
      <w:pPr>
        <w:pStyle w:val="ListParagraph"/>
        <w:numPr>
          <w:ilvl w:val="0"/>
          <w:numId w:val="2"/>
        </w:numPr>
        <w:spacing w:after="80" w:line="280"/>
      </w:pPr>
      <w:r>
        <w:t xml:space="preserve">Display 18+ messaging and safer gambling links in the site footer on every page.</w:t>
      </w:r>
    </w:p>
    <w:p>
      <w:pPr>
        <w:pStyle w:val="ListParagraph"/>
        <w:numPr>
          <w:ilvl w:val="0"/>
          <w:numId w:val="2"/>
        </w:numPr>
        <w:spacing w:after="80" w:line="280"/>
      </w:pPr>
      <w:r>
        <w:t xml:space="preserve">Avoid language that trivialises gambling harm or presents chasing losses as acceptable.</w:t>
      </w:r>
    </w:p>
    <w:p>
      <w:pPr>
        <w:pStyle w:val="ListParagraph"/>
        <w:numPr>
          <w:ilvl w:val="0"/>
          <w:numId w:val="2"/>
        </w:numPr>
        <w:spacing w:after="80" w:line="280"/>
      </w:pPr>
      <w:r>
        <w:t xml:space="preserve">Avoid content that targets known vulnerable groups.</w:t>
      </w:r>
    </w:p>
    <w:p>
      <w:pPr>
        <w:pStyle w:val="Heading1"/>
      </w:pPr>
      <w:r>
        <w:t xml:space="preserve">7. Support services we signpost</w:t>
      </w:r>
    </w:p>
    <w:p>
      <w:pPr>
        <w:pStyle w:val="ListParagraph"/>
        <w:numPr>
          <w:ilvl w:val="0"/>
          <w:numId w:val="2"/>
        </w:numPr>
        <w:spacing w:after="80" w:line="280"/>
      </w:pPr>
      <w:r>
        <w:t xml:space="preserve">BeGambleAware — begambleaware.org — free, confidential support and the National Gambling Helpline (0808 8020 133).</w:t>
      </w:r>
    </w:p>
    <w:p>
      <w:pPr>
        <w:pStyle w:val="ListParagraph"/>
        <w:numPr>
          <w:ilvl w:val="0"/>
          <w:numId w:val="2"/>
        </w:numPr>
        <w:spacing w:after="80" w:line="280"/>
      </w:pPr>
      <w:r>
        <w:t xml:space="preserve">GamCare — gamcare.org.uk — free information, support, and counselling.</w:t>
      </w:r>
    </w:p>
    <w:p>
      <w:pPr>
        <w:pStyle w:val="ListParagraph"/>
        <w:numPr>
          <w:ilvl w:val="0"/>
          <w:numId w:val="2"/>
        </w:numPr>
        <w:spacing w:after="80" w:line="280"/>
      </w:pPr>
      <w:r>
        <w:t xml:space="preserve">GamStop — gamstop.co.uk — free, UK-wide self-exclusion scheme for online gambling.</w:t>
      </w:r>
    </w:p>
    <w:p>
      <w:pPr>
        <w:pStyle w:val="ListParagraph"/>
        <w:numPr>
          <w:ilvl w:val="0"/>
          <w:numId w:val="2"/>
        </w:numPr>
        <w:spacing w:after="80" w:line="280"/>
      </w:pPr>
      <w:r>
        <w:t xml:space="preserve">Gambling Therapy — gamblingtherapy.org — global practical advice and emotional support.</w:t>
      </w:r>
    </w:p>
    <w:p>
      <w:pPr>
        <w:pStyle w:val="Heading1"/>
      </w:pPr>
      <w:r>
        <w:t xml:space="preserve">8. Third-party compliance</w:t>
      </w:r>
    </w:p>
    <w:p>
      <w:pPr>
        <w:spacing w:after="160" w:line="300"/>
      </w:pPr>
      <w:r>
        <w:t xml:space="preserve">Where we engage subcontractors, freelancers, or agencies to produce or distribute gambling-related content on our behalf, they are contractually required to comply with this policy and the applicable CAP and LCCP standards. Breaches are grounds for termination of the commercial relationship.</w:t>
      </w:r>
    </w:p>
    <w:p>
      <w:pPr>
        <w:pStyle w:val="Heading1"/>
      </w:pPr>
      <w:r>
        <w:t xml:space="preserve">9. Monitoring, complaints, and reporting</w:t>
      </w:r>
    </w:p>
    <w:p>
      <w:pPr>
        <w:spacing w:after="160" w:line="300"/>
      </w:pPr>
      <w:r>
        <w:t xml:space="preserve">We monitor compliance with this policy through editorial review, internal audit of affiliate pages, and responsive handling of complaints. Any person who believes that content on our website breaches this policy, the CAP Code, or LCCP may contact us at brett.andrews@finaltablemedia.co.uk. We aim to acknowledge complaints within 5 working days and resolve them within 30 days, escalating to the ASA or Gambling Commission where appropriate.</w:t>
      </w:r>
    </w:p>
    <w:p>
      <w:pPr>
        <w:pStyle w:val="Heading1"/>
      </w:pPr>
      <w:r>
        <w:t xml:space="preserve">10. Responsibilities</w:t>
      </w:r>
    </w:p>
    <w:p>
      <w:pPr>
        <w:spacing w:after="160" w:line="300"/>
      </w:pPr>
      <w:r>
        <w:rPr>
          <w:b/>
          <w:bCs/>
        </w:rPr>
        <w:t xml:space="preserve">The Director </w:t>
      </w:r>
      <w:r>
        <w:rPr>
          <w:b w:val="false"/>
          <w:bCs w:val="false"/>
        </w:rPr>
        <w:t xml:space="preserve">(Brett Andrews) is the policy owner and responsible for ensuring that social responsibility and responsible gambling principles are embedded in our editorial, marketing, and commercial operations.</w:t>
      </w:r>
    </w:p>
    <w:p>
      <w:pPr>
        <w:spacing w:after="160" w:line="300"/>
      </w:pPr>
      <w:r>
        <w:rPr>
          <w:b/>
          <w:bCs/>
        </w:rPr>
        <w:t xml:space="preserve">Editorial and marketing personnel </w:t>
      </w:r>
      <w:r>
        <w:rPr>
          <w:b w:val="false"/>
          <w:bCs w:val="false"/>
        </w:rPr>
        <w:t xml:space="preserve">are responsible for applying this policy when producing, publishing, or distributing gambling-related content.</w:t>
      </w:r>
    </w:p>
    <w:p>
      <w:pPr>
        <w:spacing w:after="160" w:line="300"/>
      </w:pPr>
      <w:r>
        <w:rPr>
          <w:b/>
          <w:bCs/>
        </w:rPr>
        <w:t xml:space="preserve">All personnel </w:t>
      </w:r>
      <w:r>
        <w:rPr>
          <w:b w:val="false"/>
          <w:bCs w:val="false"/>
        </w:rPr>
        <w:t xml:space="preserve">are responsible for raising concerns about content, practices, or partners that may be inconsistent with this policy.</w:t>
      </w:r>
    </w:p>
    <w:p>
      <w:pPr>
        <w:pStyle w:val="Heading1"/>
      </w:pPr>
      <w:r>
        <w:t xml:space="preserve">11. Review</w:t>
      </w:r>
    </w:p>
    <w:p>
      <w:pPr>
        <w:spacing w:after="160" w:line="300"/>
      </w:pPr>
      <w:r>
        <w:t xml:space="preserve">This policy is reviewed at least annually and whenever there is a material change in applicable law, regulatory guidance, or industry codes. The next scheduled review date is 19 April 2027.</w:t>
      </w:r>
    </w:p>
    <w:p>
      <w:r>
        <w:t xml:space="preserve"/>
      </w:r>
    </w:p>
    <w:p>
      <w:pPr>
        <w:pStyle w:val="Heading2"/>
      </w:pPr>
      <w:r>
        <w:t xml:space="preserve">Approval and signature</w:t>
      </w:r>
    </w:p>
    <w:p>
      <w:pPr>
        <w:spacing w:after="160" w:line="300"/>
      </w:pPr>
      <w:r>
        <w:t xml:space="preserve">This policy has been approved and adopted by the Board of Finaltable Media Ltd and is binding on all directors, employees, contractors, and third parties acting on behalf of the Company.</w:t>
      </w:r>
    </w:p>
    <w:p>
      <w:pPr>
        <w:spacing w:after="160" w:line="300"/>
      </w:pPr>
      <w:r>
        <w:rPr>
          <w:b/>
          <w:bCs/>
        </w:rPr>
        <w:t xml:space="preserve">Signed: </w:t>
      </w:r>
      <w:r>
        <w:rPr>
          <w:b w:val="false"/>
          <w:bCs w:val="false"/>
        </w:rPr>
        <w:t xml:space="preserve">____________________________________</w:t>
      </w:r>
    </w:p>
    <w:p>
      <w:pPr>
        <w:spacing w:after="160" w:line="300"/>
      </w:pPr>
      <w:r>
        <w:rPr>
          <w:b/>
          <w:bCs/>
        </w:rPr>
        <w:t xml:space="preserve">Name: </w:t>
      </w:r>
      <w:r>
        <w:rPr>
          <w:b w:val="false"/>
          <w:bCs w:val="false"/>
        </w:rPr>
        <w:t xml:space="preserve">Brett Andrews</w:t>
      </w:r>
    </w:p>
    <w:p>
      <w:pPr>
        <w:spacing w:after="160" w:line="300"/>
      </w:pPr>
      <w:r>
        <w:rPr>
          <w:b/>
          <w:bCs/>
        </w:rPr>
        <w:t xml:space="preserve">Position: </w:t>
      </w:r>
      <w:r>
        <w:rPr>
          <w:b w:val="false"/>
          <w:bCs w:val="false"/>
        </w:rPr>
        <w:t xml:space="preserve">Director</w:t>
      </w:r>
    </w:p>
    <w:p>
      <w:pPr>
        <w:spacing w:after="160" w:line="300"/>
      </w:pPr>
      <w:r>
        <w:rPr>
          <w:b/>
          <w:bCs/>
        </w:rPr>
        <w:t xml:space="preserve">Date: </w:t>
      </w:r>
      <w:r>
        <w:rPr>
          <w:b w:val="false"/>
          <w:bCs w:val="false"/>
        </w:rPr>
        <w:t xml:space="preserve">19 April 2026</w:t>
      </w:r>
    </w:p>
    <w:p>
      <w:r>
        <w:t xml:space="preserve"/>
      </w:r>
    </w:p>
    <w:p>
      <w:pPr>
        <w:spacing w:after="160" w:line="300"/>
      </w:pPr>
      <w:r>
        <w:t xml:space="preserve">Policy owner: Brett Andrews, Director. Contact: brett.andrews@finaltablemedia.co.uk.</w:t>
      </w:r>
    </w:p>
    <w:p>
      <w:pPr>
        <w:spacing w:after="160" w:line="300"/>
      </w:pPr>
      <w:r>
        <w:t xml:space="preserve">Registered office: 23 Danum Avenue, Sowerby, Thirsk, England, YO7 1RU.</w:t>
      </w:r>
    </w:p>
    <w:sectPr>
      <w:headerReference w:type="default" r:id="rId7"/>
      <w:footerReference w:type="default" r:id="rId8"/>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w:p>
    <w:pPr>
      <w:tabs>
        <w:tab w:val="right" w:pos="9026"/>
      </w:tabs>
    </w:pPr>
    <w:r>
      <w:rPr>
        <w:color w:val="6B7280"/>
        <w:sz w:val="16"/>
        <w:szCs w:val="16"/>
      </w:rPr>
      <w:t xml:space="preserve">Finaltable Media Ltd — Confidential</w:t>
    </w:r>
    <w:r>
      <w:rPr>
        <w:color w:val="6B7280"/>
        <w:sz w:val="16"/>
        <w:szCs w:val="16"/>
      </w:rPr>
      <w:t xml:space="preserve">	Page </w:t>
    </w:r>
    <w:r>
      <w:rPr>
        <w:color w:val="6B7280"/>
        <w:sz w:val="16"/>
        <w:szCs w:val="16"/>
      </w:rPr>
      <w:fldChar w:fldCharType="begin"/>
      <w:instrText xml:space="preserve">PAGE</w:instrText>
      <w:fldChar w:fldCharType="separate"/>
      <w:fldChar w:fldCharType="end"/>
    </w:r>
    <w:r>
      <w:rPr>
        <w:color w:val="6B7280"/>
        <w:sz w:val="16"/>
        <w:szCs w:val="16"/>
      </w:rPr>
      <w:t xml:space="preserve"> of </w:t>
    </w:r>
    <w:r>
      <w:rPr>
        <w:color w:val="6B7280"/>
        <w:sz w:val="16"/>
        <w:szCs w:val="16"/>
      </w:rPr>
      <w:fldChar w:fldCharType="begin"/>
      <w:instrText xml:space="preserve">NUMPAGES</w:instrText>
      <w:fldChar w:fldCharType="separate"/>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w:p>
    <w:pPr>
      <w:jc w:val="right"/>
    </w:pPr>
    <w:r>
      <w:rPr>
        <w:b/>
        <w:bCs/>
        <w:color w:val="4B5563"/>
        <w:sz w:val="18"/>
        <w:szCs w:val="18"/>
      </w:rPr>
      <w:t xml:space="preserve">Finaltable Media Ltd (t/a StableBet)</w:t>
    </w:r>
  </w:p>
  <w:p>
    <w:pPr>
      <w:jc w:val="right"/>
    </w:pPr>
    <w:r>
      <w:rPr>
        <w:color w:val="6B7280"/>
        <w:sz w:val="16"/>
        <w:szCs w:val="16"/>
      </w:rPr>
      <w:t xml:space="preserve">Company No. 16872714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qFormat/>
    <w:pPr>
      <w:spacing w:after="160" w:before="320"/>
      <w:outlineLvl w:val="0"/>
    </w:pPr>
    <w:rPr>
      <w:rFonts w:ascii="Arial" w:cs="Arial" w:eastAsia="Arial" w:hAnsi="Arial"/>
      <w:b/>
      <w:bCs/>
      <w:color w:val="111827"/>
      <w:sz w:val="28"/>
      <w:szCs w:val="28"/>
    </w:rPr>
  </w:style>
  <w:style w:type="paragraph" w:styleId="Heading2">
    <w:name w:val="Heading 2"/>
    <w:basedOn w:val="Normal"/>
    <w:next w:val="Normal"/>
    <w:qFormat/>
    <w:pPr>
      <w:spacing w:after="120" w:before="240"/>
      <w:outlineLvl w:val="1"/>
    </w:pPr>
    <w:rPr>
      <w:rFonts w:ascii="Arial" w:cs="Arial" w:eastAsia="Arial" w:hAnsi="Arial"/>
      <w:b/>
      <w:bCs/>
      <w:color w:val="1F2937"/>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header" Target="header1.xml"/><Relationship Id="rId8" Type="http://schemas.openxmlformats.org/officeDocument/2006/relationships/footer" Target="footer1.xml"/><Relationship Id="rId9"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 Responsibility and Responsible Gambling Policy</dc:title>
  <dc:creator>Finaltable Media Ltd</dc:creator>
  <dc:description>Social Responsibility and Responsible Gambling Policy — Finaltable Media Ltd (t/a StableBet)</dc:description>
  <cp:lastModifiedBy>Un-named</cp:lastModifiedBy>
  <cp:revision>1</cp:revision>
  <dcterms:created xsi:type="dcterms:W3CDTF">2026-04-19T09:00:44.525Z</dcterms:created>
  <dcterms:modified xsi:type="dcterms:W3CDTF">2026-04-19T09:00:44.525Z</dcterms:modified>
</cp:coreProperties>
</file>

<file path=docProps/custom.xml><?xml version="1.0" encoding="utf-8"?>
<Properties xmlns="http://schemas.openxmlformats.org/officeDocument/2006/custom-properties" xmlns:vt="http://schemas.openxmlformats.org/officeDocument/2006/docPropsVTypes"/>
</file>